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F05074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F05074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F05074" w:rsidRDefault="0093401B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F05074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Strawberry </w:t>
            </w:r>
          </w:p>
          <w:p w:rsidR="00AB4422" w:rsidRPr="00F05074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F05074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2705F8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93401B" w:rsidRPr="00F05074" w:rsidRDefault="0093401B" w:rsidP="0093401B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F05074">
              <w:rPr>
                <w:rFonts w:ascii="Bell MT" w:hAnsi="Bell MT"/>
                <w:b/>
                <w:sz w:val="40"/>
                <w:szCs w:val="40"/>
              </w:rPr>
              <w:t xml:space="preserve">Both sour and tart, our Strawberry Balsamic Vinegar is the very embodiment of ripe juicy strawberry </w:t>
            </w:r>
            <w:r w:rsidR="00F05074">
              <w:rPr>
                <w:rFonts w:ascii="Bell MT" w:hAnsi="Bell MT"/>
                <w:b/>
                <w:sz w:val="40"/>
                <w:szCs w:val="40"/>
              </w:rPr>
              <w:t>and rich smooth aged balsamic. Delightfully versatile, u</w:t>
            </w:r>
            <w:r w:rsidRPr="00F05074">
              <w:rPr>
                <w:rFonts w:ascii="Bell MT" w:hAnsi="Bell MT"/>
                <w:b/>
                <w:sz w:val="40"/>
                <w:szCs w:val="40"/>
              </w:rPr>
              <w:t>se in marinades, dressings, with spinach salad, on cheese plates, to glaze poultry or meat, over thick yogurt or premium vanilla ice cream.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93401B">
            <w:pPr>
              <w:pStyle w:val="PlainText"/>
              <w:snapToGrid w:val="0"/>
              <w:spacing w:line="276" w:lineRule="auto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2705F8"/>
    <w:rsid w:val="003311E7"/>
    <w:rsid w:val="003F6D69"/>
    <w:rsid w:val="00762C23"/>
    <w:rsid w:val="0093401B"/>
    <w:rsid w:val="00A318A1"/>
    <w:rsid w:val="00AB4422"/>
    <w:rsid w:val="00B86B80"/>
    <w:rsid w:val="00B92874"/>
    <w:rsid w:val="00C3130C"/>
    <w:rsid w:val="00C849AD"/>
    <w:rsid w:val="00D37B46"/>
    <w:rsid w:val="00D87D1A"/>
    <w:rsid w:val="00D93C13"/>
    <w:rsid w:val="00E51DF1"/>
    <w:rsid w:val="00EC6F79"/>
    <w:rsid w:val="00F0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Windows User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2018-05-21T22:59:00Z</dcterms:created>
  <dcterms:modified xsi:type="dcterms:W3CDTF">2018-06-15T16:37:00Z</dcterms:modified>
</cp:coreProperties>
</file>